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72B4" w14:textId="2A05E23A" w:rsidR="0028142F" w:rsidRDefault="000D0C77">
      <w:pPr>
        <w:rPr>
          <w:rFonts w:ascii="Calibri" w:eastAsia="Calibri" w:hAnsi="Calibri" w:cs="Calibri"/>
          <w:sz w:val="22"/>
          <w:szCs w:val="22"/>
        </w:rPr>
      </w:pPr>
      <w:r w:rsidRPr="004D4214">
        <w:rPr>
          <w:rFonts w:ascii="Calibri" w:eastAsia="Calibri" w:hAnsi="Calibri" w:cs="Calibri"/>
          <w:sz w:val="22"/>
          <w:szCs w:val="22"/>
          <w:highlight w:val="yellow"/>
        </w:rPr>
        <w:t>V</w:t>
      </w:r>
      <w:r w:rsidR="004D4214" w:rsidRPr="004D4214">
        <w:rPr>
          <w:rFonts w:ascii="Calibri" w:eastAsia="Calibri" w:hAnsi="Calibri" w:cs="Calibri"/>
          <w:sz w:val="22"/>
          <w:szCs w:val="22"/>
          <w:highlight w:val="yellow"/>
        </w:rPr>
        <w:t> </w:t>
      </w:r>
      <w:r w:rsidRPr="004D4214">
        <w:rPr>
          <w:rFonts w:ascii="Calibri" w:eastAsia="Calibri" w:hAnsi="Calibri" w:cs="Calibri"/>
          <w:sz w:val="22"/>
          <w:szCs w:val="22"/>
          <w:highlight w:val="yellow"/>
        </w:rPr>
        <w:t>Praze</w:t>
      </w:r>
      <w:r w:rsidR="004D4214" w:rsidRPr="004D4214">
        <w:rPr>
          <w:rFonts w:ascii="Calibri" w:eastAsia="Calibri" w:hAnsi="Calibri" w:cs="Calibri"/>
          <w:sz w:val="22"/>
          <w:szCs w:val="22"/>
          <w:highlight w:val="yellow"/>
        </w:rPr>
        <w:t>, březen 2021</w:t>
      </w:r>
    </w:p>
    <w:p w14:paraId="279F2541" w14:textId="77777777" w:rsidR="0028142F" w:rsidRDefault="000D0C77">
      <w:pPr>
        <w:widowControl w:val="0"/>
        <w:spacing w:before="120" w:after="120"/>
        <w:jc w:val="both"/>
        <w:rPr>
          <w:rFonts w:ascii="Calibri" w:eastAsia="Calibri" w:hAnsi="Calibri" w:cs="Calibri"/>
          <w:i/>
          <w:color w:val="1C76AD"/>
          <w:sz w:val="40"/>
          <w:szCs w:val="40"/>
        </w:rPr>
      </w:pPr>
      <w:r>
        <w:rPr>
          <w:rFonts w:ascii="Calibri" w:eastAsia="Calibri" w:hAnsi="Calibri" w:cs="Calibri"/>
          <w:color w:val="1C76AD"/>
          <w:sz w:val="40"/>
          <w:szCs w:val="40"/>
        </w:rPr>
        <w:t>Nejúčinnější prevence infekčních chorob? Očkování</w:t>
      </w:r>
    </w:p>
    <w:p w14:paraId="1F64FB7E" w14:textId="77777777" w:rsidR="0028142F" w:rsidRDefault="00281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10D231" w14:textId="77777777" w:rsidR="0028142F" w:rsidRDefault="000D0C77">
      <w:pPr>
        <w:shd w:val="clear" w:color="auto" w:fill="FFFFFF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Očkování, nejúčinnější metoda prevence infekčních chorob, patří k nejvýznamnějším objevům v historii medicíny. Za dobu své existence pomohlo zachránit stamiliony lidských životů. Díky očkování se v minulosti podařilo vymýtit některé infekční nemoci (např. celosvětově pravé neštovice, v Evropě dětskou obrnu), některé infekce se podařily utlumit na jednotky případů (záškrt nebo invazivní </w:t>
      </w:r>
      <w:proofErr w:type="spellStart"/>
      <w:r>
        <w:rPr>
          <w:rFonts w:ascii="Calibri" w:eastAsia="Calibri" w:hAnsi="Calibri" w:cs="Calibri"/>
          <w:b/>
        </w:rPr>
        <w:t>Hib</w:t>
      </w:r>
      <w:proofErr w:type="spellEnd"/>
      <w:r>
        <w:rPr>
          <w:rFonts w:ascii="Calibri" w:eastAsia="Calibri" w:hAnsi="Calibri" w:cs="Calibri"/>
          <w:b/>
        </w:rPr>
        <w:t xml:space="preserve"> infekce), výskyt dalších se podařilo výrazně snížit. </w:t>
      </w:r>
      <w:r>
        <w:rPr>
          <w:rFonts w:ascii="Calibri" w:eastAsia="Calibri" w:hAnsi="Calibri" w:cs="Calibri"/>
          <w:b/>
          <w:i/>
        </w:rPr>
        <w:t>„Vakcíny se ale staly obětí svého vlastního úspěchu. Lidé se běžně nesetkávají s infekcemi, proti nimž se dnes očkuje, proto mají tendenci význam očkování podceňovat,“</w:t>
      </w:r>
      <w:r>
        <w:rPr>
          <w:rFonts w:ascii="Calibri" w:eastAsia="Calibri" w:hAnsi="Calibri" w:cs="Calibri"/>
          <w:b/>
        </w:rPr>
        <w:t xml:space="preserve"> říká Mgr. Jakub Dvořáček, MHA, LL.M., výkonný ředitel Asociace inovativního průmyslu (AIFP). „</w:t>
      </w:r>
      <w:r>
        <w:rPr>
          <w:rFonts w:ascii="Calibri" w:eastAsia="Calibri" w:hAnsi="Calibri" w:cs="Calibri"/>
          <w:b/>
          <w:i/>
        </w:rPr>
        <w:t>Třeba v případě onemocnění COVID-19 pro rizikové skupiny obyvatel stále nemáme k dispozici uspokojivou léčbu, očkování tak zůstává jedinou možností, jak je ochránit,“</w:t>
      </w:r>
      <w:r>
        <w:rPr>
          <w:rFonts w:ascii="Calibri" w:eastAsia="Calibri" w:hAnsi="Calibri" w:cs="Calibri"/>
          <w:b/>
        </w:rPr>
        <w:t xml:space="preserve">  zdůraznila ředitelka SÚKL Mgr. Irena Storová, MHA. Níže přinášíme přehled tří velmi odlišných onemocnění, na kterých lze přínos vakcinace demonstrovat. Doplňujeme také základní informace týkající se vývoje nových očkovacích látek. </w:t>
      </w:r>
    </w:p>
    <w:p w14:paraId="205C44DF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0ECAD2CB" w14:textId="77777777" w:rsidR="0028142F" w:rsidRDefault="000D0C7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Pravé neštovice jsou díky vakcíně minulostí</w:t>
      </w:r>
    </w:p>
    <w:p w14:paraId="16056434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Variola, neboli pravé neštovice, představovala v minulosti jedno z nejnebezpečnějších onemocnění. Jen během 20. století neštovice zabily 300–500 milionů lidí, ještě v roce 1967 onemocnělo 15 milionů lidí a 2 milióny nakažených zemřelo. </w:t>
      </w:r>
    </w:p>
    <w:p w14:paraId="67E1EA0B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64C1CA" wp14:editId="696B3DA5">
                <wp:simplePos x="0" y="0"/>
                <wp:positionH relativeFrom="margin">
                  <wp:posOffset>3532505</wp:posOffset>
                </wp:positionH>
                <wp:positionV relativeFrom="margin">
                  <wp:posOffset>4260306</wp:posOffset>
                </wp:positionV>
                <wp:extent cx="2177415" cy="926356"/>
                <wp:effectExtent l="0" t="0" r="0" b="0"/>
                <wp:wrapSquare wrapText="bothSides" distT="0" distB="0" distL="114300" distR="11430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9993" y="3367885"/>
                          <a:ext cx="2152015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2A859" w14:textId="77777777" w:rsidR="0028142F" w:rsidRDefault="000D0C7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Konec pravým neštovicím</w:t>
                            </w:r>
                          </w:p>
                          <w:p w14:paraId="61D139BE" w14:textId="77777777" w:rsidR="0028142F" w:rsidRDefault="000D0C7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Dne 8. 5. 1980 vyhlásila WHO eradikace pravých lidských neštovic. Vakcinace proti variole byla celosvětově ukončena 31. prosince 1980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.</w:t>
                            </w:r>
                          </w:p>
                          <w:p w14:paraId="32A11EF1" w14:textId="77777777" w:rsidR="0028142F" w:rsidRDefault="002814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3532505</wp:posOffset>
                </wp:positionH>
                <wp:positionV relativeFrom="margin">
                  <wp:posOffset>4260306</wp:posOffset>
                </wp:positionV>
                <wp:extent cx="2177415" cy="926356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415" cy="9263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DC88F4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„Naštěstí dnes známe tuto nemoc jen z literatury. Pravé neštovice patřily mezi nejzávažnější infekce nejen svou vysokou smrtností (10 až 30 procent), ale i trvalým postižením, například slepotou. Onemocnění se projevovalo horečkami a výrazným postižením kůže, s možností krvácení do kůže, jejím následkem bylo jizvení kůže. Často se také objevovalo oběhové selhání,“ </w:t>
      </w:r>
      <w:r>
        <w:rPr>
          <w:rFonts w:ascii="Calibri" w:eastAsia="Calibri" w:hAnsi="Calibri" w:cs="Calibri"/>
        </w:rPr>
        <w:t xml:space="preserve">uvádí MUDr. Ilona </w:t>
      </w:r>
      <w:proofErr w:type="spellStart"/>
      <w:r>
        <w:rPr>
          <w:rFonts w:ascii="Calibri" w:eastAsia="Calibri" w:hAnsi="Calibri" w:cs="Calibri"/>
        </w:rPr>
        <w:t>Hülleová</w:t>
      </w:r>
      <w:proofErr w:type="spellEnd"/>
      <w:r>
        <w:rPr>
          <w:rFonts w:ascii="Calibri" w:eastAsia="Calibri" w:hAnsi="Calibri" w:cs="Calibri"/>
        </w:rPr>
        <w:t>, předsedkyně Sdružení praktických lékařů pro děti a dorost České republiky (SPLDD).</w:t>
      </w:r>
    </w:p>
    <w:p w14:paraId="077ED422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279CC783" w14:textId="77777777" w:rsidR="0028142F" w:rsidRDefault="000D0C77">
      <w:pPr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Eradikace (vymýcení) varioly, zejména díky účinnému očkování, je obrovským úspěchem medicíny a všech, kteří se na ní podíleli. Pravé neštovice byly 8. května 1980 na 33. valném shromáždění Světové zdravotnické organizace (WHO) oficiálně vyhlášeny za vymýcené. Češi historicky patřili nejen k průkopníkům, ale také k šiřitelům vakcinačních programů. Prof. MUDr. Karel Raška, DrSc., (1909-1987) byl jako zaměstnanec WHO jednou z klíčových osobností </w:t>
      </w:r>
      <w:proofErr w:type="spellStart"/>
      <w:r>
        <w:rPr>
          <w:rFonts w:ascii="Calibri" w:eastAsia="Calibri" w:hAnsi="Calibri" w:cs="Calibri"/>
        </w:rPr>
        <w:t>eradikačního</w:t>
      </w:r>
      <w:proofErr w:type="spellEnd"/>
      <w:r>
        <w:rPr>
          <w:rFonts w:ascii="Calibri" w:eastAsia="Calibri" w:hAnsi="Calibri" w:cs="Calibri"/>
        </w:rPr>
        <w:t xml:space="preserve"> programu. </w:t>
      </w:r>
    </w:p>
    <w:p w14:paraId="449EB80B" w14:textId="77777777" w:rsidR="0028142F" w:rsidRDefault="0028142F">
      <w:pPr>
        <w:jc w:val="both"/>
        <w:rPr>
          <w:rFonts w:ascii="Calibri" w:eastAsia="Calibri" w:hAnsi="Calibri" w:cs="Calibri"/>
          <w:b/>
        </w:rPr>
      </w:pPr>
    </w:p>
    <w:p w14:paraId="18075477" w14:textId="77777777" w:rsidR="0028142F" w:rsidRDefault="0028142F">
      <w:pPr>
        <w:jc w:val="both"/>
        <w:rPr>
          <w:rFonts w:ascii="Calibri" w:eastAsia="Calibri" w:hAnsi="Calibri" w:cs="Calibri"/>
          <w:b/>
        </w:rPr>
      </w:pPr>
    </w:p>
    <w:p w14:paraId="6C40243B" w14:textId="77777777" w:rsidR="0028142F" w:rsidRDefault="0028142F">
      <w:pPr>
        <w:jc w:val="both"/>
        <w:rPr>
          <w:rFonts w:ascii="Calibri" w:eastAsia="Calibri" w:hAnsi="Calibri" w:cs="Calibri"/>
          <w:b/>
        </w:rPr>
      </w:pPr>
    </w:p>
    <w:p w14:paraId="73BAE4D1" w14:textId="77777777" w:rsidR="0028142F" w:rsidRDefault="000D0C7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Očkování proti spalničkám pomohlo odvrátit 25,5 milionů úmrtí</w:t>
      </w:r>
    </w:p>
    <w:p w14:paraId="63E909A7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Spalničky jsou vysoce nakažlivým onemocněním, které se šíří vzdušnou cestou – kapénkami. Projevují se horečkou, rýmou, kašlem, vyrážkou na kůži, svalovou bolestí a zánětem spojivek. Větší problém jsou spalničky u dospělých, nemusí se totiž jednoznačně vyvinout všechny příznaky. Onemocnění může zdánlivě vypadat jako viróza. Pokud se včas neléčí, může postihnout další systémy, například kardiovaskulární systém. Mohou tak vznikat i doživotní nebo fatální komplikace.</w:t>
      </w:r>
    </w:p>
    <w:p w14:paraId="7E2442E0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50268B34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Odhaduje se, že 90 % neimunních lidí vystavených infekci touto chorobou onemocní (základní reprodukční číslo se pohybuje mezi 12–18). </w:t>
      </w:r>
      <w:r>
        <w:rPr>
          <w:rFonts w:ascii="Calibri" w:eastAsia="Calibri" w:hAnsi="Calibri" w:cs="Calibri"/>
          <w:i/>
        </w:rPr>
        <w:t>„Očkování zásadně snížilo výskyt spalniček v Evropě, v důsledku zmenšující se proočkovanosti v posledních letech se však znovu celosvětově rozmáhá. V uplynulých letech jsme byli svědky propuknutí epidemií v lokálních ohniscích,“</w:t>
      </w:r>
      <w:r>
        <w:rPr>
          <w:rFonts w:ascii="Calibri" w:eastAsia="Calibri" w:hAnsi="Calibri" w:cs="Calibri"/>
        </w:rPr>
        <w:t xml:space="preserve"> vysvětluje Jakub Dvořáček. </w:t>
      </w:r>
    </w:p>
    <w:p w14:paraId="71B71F3B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1936165E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Roční hlášený výskyt spalniček se ve 194 sledovaných státech v letech 2000–2016 snížil o 88 %, ze 145 na 18 případů na 1 milion obyvatel. Přičemž nejnižší výskyt byl zaznamenán v roce 2016. Díky očkování se v letech 2000–</w:t>
      </w:r>
      <w:proofErr w:type="gramStart"/>
      <w:r>
        <w:rPr>
          <w:rFonts w:ascii="Calibri" w:eastAsia="Calibri" w:hAnsi="Calibri" w:cs="Calibri"/>
        </w:rPr>
        <w:t>2019 roční</w:t>
      </w:r>
      <w:proofErr w:type="gramEnd"/>
      <w:r>
        <w:rPr>
          <w:rFonts w:ascii="Calibri" w:eastAsia="Calibri" w:hAnsi="Calibri" w:cs="Calibri"/>
        </w:rPr>
        <w:t xml:space="preserve"> počet odhadovaných úmrtí na spalničky snížil o 62 %, z 539 000 na 207 500; to znamená, že se zabránilo 25,5 milionu úmrtí na spalničky. Spalničky ale i nadále zůstávají hlavní příčinou úmrtí v dětství a odhaduje se, že každý rok na komplikace nemoci zemře 160 000 dětí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.</w:t>
      </w:r>
    </w:p>
    <w:p w14:paraId="4B04D868" w14:textId="77777777" w:rsidR="0028142F" w:rsidRDefault="000D0C77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Očkování je u spalniček jediným účinným preventivním opatřením. </w:t>
      </w:r>
      <w:r>
        <w:rPr>
          <w:rFonts w:ascii="Calibri" w:eastAsia="Calibri" w:hAnsi="Calibri" w:cs="Calibri"/>
          <w:i/>
        </w:rPr>
        <w:t>„U spalniček většina zdrojů uvádí nutnou proočkovanost 95 %. Obecně lze říci, že proočkovanost musí být stejně jako u jiných onemocnění vysoká</w:t>
      </w:r>
      <w:r>
        <w:rPr>
          <w:rFonts w:ascii="Calibri" w:eastAsia="Calibri" w:hAnsi="Calibri" w:cs="Calibri"/>
        </w:rPr>
        <w:t>,“ říká o kolektivní imunitě a procentu proočkovanosti, při němž nehrozí nebezpečí návratu dříve vymýcených chorob, MUDr. Alena Šebková, předsedkyně Odborné společnosti praktických dětských lékařů (OSPDL ČLS JEP).</w:t>
      </w:r>
    </w:p>
    <w:p w14:paraId="13EEF9D5" w14:textId="77777777" w:rsidR="0028142F" w:rsidRDefault="0028142F">
      <w:pPr>
        <w:jc w:val="both"/>
        <w:rPr>
          <w:rFonts w:ascii="Calibri" w:eastAsia="Calibri" w:hAnsi="Calibri" w:cs="Calibri"/>
          <w:b/>
        </w:rPr>
      </w:pPr>
    </w:p>
    <w:p w14:paraId="51F31102" w14:textId="77777777" w:rsidR="0028142F" w:rsidRDefault="000D0C7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Češi v očkování proti chřipce za Evropou zaostávají</w:t>
      </w:r>
    </w:p>
    <w:p w14:paraId="74E04F24" w14:textId="49B66B19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28C5EC" wp14:editId="013DC68E">
                <wp:simplePos x="0" y="0"/>
                <wp:positionH relativeFrom="margin">
                  <wp:posOffset>3364230</wp:posOffset>
                </wp:positionH>
                <wp:positionV relativeFrom="margin">
                  <wp:posOffset>5277212</wp:posOffset>
                </wp:positionV>
                <wp:extent cx="2420620" cy="1123950"/>
                <wp:effectExtent l="0" t="0" r="0" b="0"/>
                <wp:wrapSquare wrapText="bothSides" distT="0" distB="0" distL="114300" distR="11430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8390" y="3230725"/>
                          <a:ext cx="239522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C48B7" w14:textId="77777777" w:rsidR="0028142F" w:rsidRDefault="000D0C7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Viry chřipky</w:t>
                            </w:r>
                          </w:p>
                          <w:p w14:paraId="706E895E" w14:textId="77777777" w:rsidR="0028142F" w:rsidRDefault="000D0C7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Typ 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způsobuje epidemie a pandemie  nejčastěji, zatímco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typ 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vyvolává pandemie vzácněji, způsobuje spíše lokální epidemie.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Typ 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nevyvolává epidemie, způsobuje většinou jen lehké infekce horních cest dýchacích, nejčastěji u dětí.</w:t>
                            </w:r>
                          </w:p>
                          <w:p w14:paraId="5B98C2C6" w14:textId="77777777" w:rsidR="0028142F" w:rsidRDefault="002814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3364230</wp:posOffset>
                </wp:positionH>
                <wp:positionV relativeFrom="margin">
                  <wp:posOffset>5277212</wp:posOffset>
                </wp:positionV>
                <wp:extent cx="2420620" cy="112395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</w:rPr>
        <w:t>Chřipka je závažnou, ale podceňovanou chorobou. Počty nemocných jen v ČR každoročně šplhají do stovek tisíc. Chřipkou totiž u nás onemocní 5–10 % dospělé populace a 20–30 % dětí. Z údajů Evropského střediska pro prevenci a kontrolu nemocí (ECDC) byla v chřipkové sezóně 2016–2017 proočkovanost české populace 4,7 % a ve skupině chronicky nemocných pak 24,8 %.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Podle dat Organizace pro hospodářskou spolupráci a rozvoj (OECD) byla proočkovanost proti chřipce v roce 2018 u lidí starších 65 let v ČR jen </w:t>
      </w:r>
      <w:proofErr w:type="gramStart"/>
      <w:r>
        <w:rPr>
          <w:rFonts w:ascii="Calibri" w:eastAsia="Calibri" w:hAnsi="Calibri" w:cs="Calibri"/>
        </w:rPr>
        <w:t>21,5%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 xml:space="preserve"> </w:t>
      </w:r>
    </w:p>
    <w:p w14:paraId="5C491AFA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7B9CCF3E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„Je ale třeba rozlišovat proočkovanost u pravidelného a doporučeného očkování. U pravidelného si stále udržujeme relativně vysokou proočkovanost. Nízká proočkovanost u ostatního očkování je nevysvětlitelná. Je pravdou, že např. proti chřipce se u nás očkuje téměř nejméně v Evropě,“ </w:t>
      </w:r>
      <w:r>
        <w:rPr>
          <w:rFonts w:ascii="Calibri" w:eastAsia="Calibri" w:hAnsi="Calibri" w:cs="Calibri"/>
        </w:rPr>
        <w:t xml:space="preserve">uvádí prof. MUDr. Petr </w:t>
      </w:r>
      <w:proofErr w:type="spellStart"/>
      <w:r>
        <w:rPr>
          <w:rFonts w:ascii="Calibri" w:eastAsia="Calibri" w:hAnsi="Calibri" w:cs="Calibri"/>
        </w:rPr>
        <w:t>Pazdiora</w:t>
      </w:r>
      <w:proofErr w:type="spellEnd"/>
      <w:r>
        <w:rPr>
          <w:rFonts w:ascii="Calibri" w:eastAsia="Calibri" w:hAnsi="Calibri" w:cs="Calibri"/>
        </w:rPr>
        <w:t>, CSc., přednosta Ústavu epidemiologie Lékařské fakulty v Plzni. Chřipka je přitom onemocněním, kterému lze očkováním předcházet. Ochrana se obnovuje každým rokem vakcínou s novým složením, která reflektuje aktuálně rozšířené chřipkové typy</w:t>
      </w:r>
      <w:r>
        <w:rPr>
          <w:rFonts w:ascii="Calibri" w:eastAsia="Calibri" w:hAnsi="Calibri" w:cs="Calibri"/>
          <w:vertAlign w:val="superscript"/>
        </w:rPr>
        <w:footnoteReference w:id="4"/>
      </w:r>
      <w:r>
        <w:rPr>
          <w:rFonts w:ascii="Calibri" w:eastAsia="Calibri" w:hAnsi="Calibri" w:cs="Calibri"/>
        </w:rPr>
        <w:t xml:space="preserve">. </w:t>
      </w:r>
    </w:p>
    <w:p w14:paraId="49C78957" w14:textId="77777777" w:rsidR="0028142F" w:rsidRDefault="0028142F">
      <w:pPr>
        <w:jc w:val="both"/>
        <w:rPr>
          <w:rFonts w:ascii="Calibri" w:eastAsia="Calibri" w:hAnsi="Calibri" w:cs="Calibri"/>
          <w:i/>
        </w:rPr>
      </w:pPr>
    </w:p>
    <w:p w14:paraId="06ECA65A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9F6E491" wp14:editId="4FAB643F">
                <wp:simplePos x="0" y="0"/>
                <wp:positionH relativeFrom="margin">
                  <wp:posOffset>3470909</wp:posOffset>
                </wp:positionH>
                <wp:positionV relativeFrom="margin">
                  <wp:posOffset>-8456929</wp:posOffset>
                </wp:positionV>
                <wp:extent cx="2178050" cy="1405890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9675" y="3089755"/>
                          <a:ext cx="215265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B6C46" w14:textId="77777777" w:rsidR="0028142F" w:rsidRDefault="000D0C7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Eradikace spalniček na obzoru?</w:t>
                            </w:r>
                          </w:p>
                          <w:p w14:paraId="43357BBE" w14:textId="77777777" w:rsidR="0028142F" w:rsidRDefault="000D0C77">
                            <w:pPr>
                              <w:spacing w:after="24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Spalničky splňují kritéria pro možnost eradikace onemocnění. Nemají zvířecí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highlight w:val="yellow"/>
                              </w:rPr>
                              <w:t>rezervoár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ani rezervoár v prostředí, lze je spolehlivě diagnostikovat, vakcína proti spalničkám je efektivní a bezpečná. Virus se přenáší na velké vzdálenosti, proto je k celosvětové eradikaci nutné eliminovat nákazu ve všech zemích.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3470909</wp:posOffset>
                </wp:positionH>
                <wp:positionV relativeFrom="margin">
                  <wp:posOffset>-8456929</wp:posOffset>
                </wp:positionV>
                <wp:extent cx="2178050" cy="140589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0" cy="140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i/>
        </w:rPr>
        <w:t>„Mnoho lidí si plete běžnou virózu s chřipkou. Chřipka je závažným onemocněním s vysokými teplotami a celkovými příznaky, které člověka vyřadí z běžného ‚provozu', na chřipku se ale také umírá. Nebezpečné jsou možné komplikace, které mohou postihnout jedince bez ohledu na jeho věk a zdravotní stav. Myslím si, že strašení bylo dost, ale větší podpora prevence a dobrého zdraví by byla na místě,“</w:t>
      </w:r>
      <w:r>
        <w:rPr>
          <w:rFonts w:ascii="Calibri" w:eastAsia="Calibri" w:hAnsi="Calibri" w:cs="Calibri"/>
        </w:rPr>
        <w:t xml:space="preserve"> uvádí MUDr. </w:t>
      </w:r>
      <w:proofErr w:type="spellStart"/>
      <w:r>
        <w:rPr>
          <w:rFonts w:ascii="Calibri" w:eastAsia="Calibri" w:hAnsi="Calibri" w:cs="Calibri"/>
        </w:rPr>
        <w:t>Hülleová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FB672B5" w14:textId="77777777" w:rsidR="0028142F" w:rsidRDefault="0028142F">
      <w:pPr>
        <w:jc w:val="both"/>
        <w:rPr>
          <w:rFonts w:ascii="Calibri" w:eastAsia="Calibri" w:hAnsi="Calibri" w:cs="Calibri"/>
          <w:b/>
        </w:rPr>
      </w:pPr>
    </w:p>
    <w:p w14:paraId="555B6371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Vakcíny jsou bezpečné a účinné</w:t>
      </w:r>
    </w:p>
    <w:p w14:paraId="2E02D027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Každá nová vakcína prochází několika etapami vývoje. V </w:t>
      </w:r>
      <w:proofErr w:type="spellStart"/>
      <w:r>
        <w:rPr>
          <w:rFonts w:ascii="Calibri" w:eastAsia="Calibri" w:hAnsi="Calibri" w:cs="Calibri"/>
        </w:rPr>
        <w:t>předklinickém</w:t>
      </w:r>
      <w:proofErr w:type="spellEnd"/>
      <w:r>
        <w:rPr>
          <w:rFonts w:ascii="Calibri" w:eastAsia="Calibri" w:hAnsi="Calibri" w:cs="Calibri"/>
        </w:rPr>
        <w:t xml:space="preserve"> testování se zjišťují nežádoucí účinky a vhodnost potenciální vakcíny v laboratorním prostředí. Kromě případné toxicity a závažných negativních vedlejších vlivů, se v </w:t>
      </w:r>
      <w:proofErr w:type="spellStart"/>
      <w:r>
        <w:rPr>
          <w:rFonts w:ascii="Calibri" w:eastAsia="Calibri" w:hAnsi="Calibri" w:cs="Calibri"/>
        </w:rPr>
        <w:t>předklinické</w:t>
      </w:r>
      <w:proofErr w:type="spellEnd"/>
      <w:r>
        <w:rPr>
          <w:rFonts w:ascii="Calibri" w:eastAsia="Calibri" w:hAnsi="Calibri" w:cs="Calibri"/>
        </w:rPr>
        <w:t xml:space="preserve"> fázi testuje i vhodné dávkovací schéma. Pokud je </w:t>
      </w:r>
      <w:proofErr w:type="spellStart"/>
      <w:r>
        <w:rPr>
          <w:rFonts w:ascii="Calibri" w:eastAsia="Calibri" w:hAnsi="Calibri" w:cs="Calibri"/>
        </w:rPr>
        <w:t>předklinické</w:t>
      </w:r>
      <w:proofErr w:type="spellEnd"/>
      <w:r>
        <w:rPr>
          <w:rFonts w:ascii="Calibri" w:eastAsia="Calibri" w:hAnsi="Calibri" w:cs="Calibri"/>
        </w:rPr>
        <w:t xml:space="preserve"> testování úspěšné, nastupuje očkovací látka do samotného klinického hodnocení. </w:t>
      </w:r>
    </w:p>
    <w:p w14:paraId="3CF82370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16744D2B" w14:textId="2360EEAF" w:rsidR="0028142F" w:rsidRDefault="000D0C77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„Pokyny Mezinárodní konference o harmonizaci technických požadavků na registrace humánních léčivých přípravků vytvořily obecné podmínky pro vzájemně srovnatelný vývoj humánních léčivých přípravků. Pokrývají všechny aspekty výroby, preklinického a klinického vývoje vakcín. Klinický vývoj vakcín dále specifikuje pokyn správné klinické praxe (E6 ICH GCP 1996),“ </w:t>
      </w:r>
      <w:r>
        <w:rPr>
          <w:rFonts w:ascii="Calibri" w:eastAsia="Calibri" w:hAnsi="Calibri" w:cs="Calibri"/>
        </w:rPr>
        <w:t>uvádí Mgr. Dvořáček. Celý proces vývoje vakcín je pod kontrolou odborníků a všechna zjištění jsou pečlivě monitorována a zaznamenávána</w:t>
      </w:r>
      <w:r>
        <w:rPr>
          <w:rFonts w:ascii="Calibri" w:eastAsia="Calibri" w:hAnsi="Calibri" w:cs="Calibri"/>
          <w:vertAlign w:val="superscript"/>
        </w:rPr>
        <w:footnoteReference w:id="5"/>
      </w:r>
      <w:r>
        <w:rPr>
          <w:rFonts w:ascii="Calibri" w:eastAsia="Calibri" w:hAnsi="Calibri" w:cs="Calibri"/>
        </w:rPr>
        <w:t>.</w:t>
      </w:r>
    </w:p>
    <w:p w14:paraId="06C1170F" w14:textId="77777777" w:rsidR="0028142F" w:rsidRDefault="0028142F">
      <w:pPr>
        <w:widowControl w:val="0"/>
        <w:jc w:val="both"/>
        <w:rPr>
          <w:rFonts w:ascii="Calibri" w:eastAsia="Calibri" w:hAnsi="Calibri" w:cs="Calibri"/>
        </w:rPr>
      </w:pPr>
    </w:p>
    <w:p w14:paraId="389E42E9" w14:textId="5BE1B903" w:rsidR="0028142F" w:rsidRDefault="000D0C77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 fázi I je nová látka testována na několika desítkách, většinou zdravých, dobrovolníků. Zjišťuje se bezpečnost a nežádoucí účinky léku, jeho vliv na orgány člověka a toleranční dávky. Ve fázi II jde zejména o potvrzení bezpečnosti a snášenlivosti, zjištění nejvhodnějšího očkovacího schématu a množství antigenu, imunitního profilu a účinnosti na základě </w:t>
      </w:r>
      <w:r>
        <w:rPr>
          <w:rFonts w:ascii="Calibri" w:eastAsia="Calibri" w:hAnsi="Calibri" w:cs="Calibri"/>
        </w:rPr>
        <w:lastRenderedPageBreak/>
        <w:t>definovaných a předem stanovených parametrů. Tyto klinické studie jsou již randomizované  a kontrolované. Provádějí se ve spolupráci s 80–800 zdravými dobrovolníky. Fáze III klinického testování ověřuje na vzorku několika tisíc lidí dlouhodobou účinnost a bezpečnost očkovací látky, zkoumá se, zda daná vakcína skutečně chrání před příslušnou infekcí. Zároveň se prověřují výsledky předchozích testů a odhalují se případné nežádoucí účinky. Studie probíhají často mezinárodně, aby mohla být látka zkoumána v co nejkratší době a na co největším počtu vhodných pacientů.</w:t>
      </w:r>
    </w:p>
    <w:p w14:paraId="2A79C1C8" w14:textId="77777777" w:rsidR="0028142F" w:rsidRDefault="0028142F">
      <w:pPr>
        <w:widowControl w:val="0"/>
        <w:jc w:val="both"/>
        <w:rPr>
          <w:rFonts w:ascii="Calibri" w:eastAsia="Calibri" w:hAnsi="Calibri" w:cs="Calibri"/>
        </w:rPr>
      </w:pPr>
    </w:p>
    <w:p w14:paraId="1C0BE708" w14:textId="77777777" w:rsidR="0028142F" w:rsidRDefault="000D0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„Vakcíny jsou zkoušeny laboratorně i klinicky, aby byla jasná dostatečná účinnost a měly naprosté minimum nežádoucích účinků. Dostupné vakcíny tomu odpovídají – závažné nežádoucí účinky jsou velmi výjimečné. Na druhé straně je třeba si uvědomit, že nic není 100% bezpečné. Proto jsou nastavené důvody, tzv. kontraindikace očkování, kdy neočkujeme, či očkování oddalujeme. Tyto důvody jsou ale zdravotní, založené na odborných podkladech, nikoli ‚</w:t>
      </w:r>
      <w:proofErr w:type="spellStart"/>
      <w:r>
        <w:rPr>
          <w:rFonts w:ascii="Calibri" w:eastAsia="Calibri" w:hAnsi="Calibri" w:cs="Calibri"/>
          <w:i/>
        </w:rPr>
        <w:t>dojmologiích</w:t>
      </w:r>
      <w:proofErr w:type="spellEnd"/>
      <w:r>
        <w:rPr>
          <w:rFonts w:ascii="Calibri" w:eastAsia="Calibri" w:hAnsi="Calibri" w:cs="Calibri"/>
          <w:i/>
        </w:rPr>
        <w:t>'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</w:rPr>
        <w:t xml:space="preserve"> uvádí MUDr. Šebková.</w:t>
      </w:r>
    </w:p>
    <w:p w14:paraId="0FAADB6D" w14:textId="77777777" w:rsidR="0028142F" w:rsidRDefault="0028142F">
      <w:pPr>
        <w:jc w:val="both"/>
        <w:rPr>
          <w:rFonts w:ascii="Calibri" w:eastAsia="Calibri" w:hAnsi="Calibri" w:cs="Calibri"/>
        </w:rPr>
      </w:pPr>
    </w:p>
    <w:p w14:paraId="28B09CF2" w14:textId="216CF9F6" w:rsidR="0028142F" w:rsidRDefault="000D0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Proces schvalování, včetně indikátorů bezpečnosti a imunogenity</w:t>
      </w:r>
      <w:r>
        <w:rPr>
          <w:b/>
          <w:color w:val="5F6368"/>
          <w:sz w:val="21"/>
          <w:szCs w:val="21"/>
        </w:rPr>
        <w:t xml:space="preserve"> </w:t>
      </w:r>
      <w:r>
        <w:rPr>
          <w:rFonts w:ascii="Calibri" w:eastAsia="Calibri" w:hAnsi="Calibri" w:cs="Calibri"/>
        </w:rPr>
        <w:t xml:space="preserve">všech očkovacích látek, je hodnocen </w:t>
      </w:r>
      <w:r>
        <w:rPr>
          <w:rFonts w:ascii="Calibri" w:eastAsia="Calibri" w:hAnsi="Calibri" w:cs="Calibri"/>
          <w:color w:val="202124"/>
        </w:rPr>
        <w:t xml:space="preserve">Evropskou agenturou pro léčivé přípravky </w:t>
      </w:r>
      <w:r>
        <w:rPr>
          <w:rFonts w:ascii="Calibri" w:eastAsia="Calibri" w:hAnsi="Calibri" w:cs="Calibri"/>
        </w:rPr>
        <w:t>(European Medicines Agency, EMA) při schvalovacím procesu.</w:t>
      </w:r>
      <w:r>
        <w:rPr>
          <w:rFonts w:ascii="Calibri" w:eastAsia="Calibri" w:hAnsi="Calibri" w:cs="Calibri"/>
          <w:i/>
        </w:rPr>
        <w:t xml:space="preserve"> „Není to ale ´o nás bez nás´. Zástupci SÚKL jsou ve výborech i pracovních skupinách a přímo se podílejí na procesu centralizované registrace. Vznášíme připomínky, hlasujeme a máme k dispozici všechny informace. Díky tomu víme, že vakcíny, které přijdou do České republiky jsou bezpečné, účinné a kvalitní,“</w:t>
      </w:r>
      <w:r>
        <w:rPr>
          <w:rFonts w:ascii="Calibri" w:eastAsia="Calibri" w:hAnsi="Calibri" w:cs="Calibri"/>
        </w:rPr>
        <w:t xml:space="preserve"> říká závěrem ředitelka SÚKL Mgr. Irena Storová, MHA. Po zahájení vakcinace jednotlivé země sbírají zavedeným způsobem údaje o nežádoucích účincích, které analyzují a hodnotí jejich případnou souvislost s vakcinací.</w:t>
      </w:r>
    </w:p>
    <w:p w14:paraId="1A81BA2C" w14:textId="77777777" w:rsidR="0028142F" w:rsidRDefault="002814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CFDDAE" w14:textId="77777777" w:rsidR="0028142F" w:rsidRDefault="000D0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color w:val="1C76AD"/>
          <w:sz w:val="18"/>
          <w:szCs w:val="18"/>
        </w:rPr>
        <w:t xml:space="preserve">O AIFP </w:t>
      </w:r>
    </w:p>
    <w:p w14:paraId="2A786927" w14:textId="77777777" w:rsidR="0028142F" w:rsidRDefault="000D0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Asociace inovativního farmaceutického průmyslu (AIFP) sdružuje 35 společností, které dokáží vyvinout a uvést na trh nové, účinnější a bezpečnější léky. AIFP je členem Evropské federace farmaceutických společností a asociací (EFPIA) a intenzivně spolupracuje s Mezinárodní federací farmaceutického průmyslu a asociací (IFPMA) a Americkou asociací inovativních farmaceutických firem 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PhRMA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). Mezi její aktuální projekty patří mj. studie Inovace pro život, jež mapuje přínosy inovativních léčiv v ČR v konkrétních terapeutických oblastech (např. karcinom prsu, revmatoidní artritida, roztroušená skleróza či diabetes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mellitus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2. typu). Více informací na </w:t>
      </w:r>
      <w:hyperlink r:id="rId13"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/>
          </w:rPr>
          <w:t>www.inovaceprozivot.cz</w:t>
        </w:r>
      </w:hyperlink>
      <w:r>
        <w:rPr>
          <w:rFonts w:ascii="Calibri" w:eastAsia="Calibri" w:hAnsi="Calibri" w:cs="Calibri"/>
          <w:i/>
          <w:sz w:val="18"/>
          <w:szCs w:val="18"/>
        </w:rPr>
        <w:t xml:space="preserve"> nebo  </w:t>
      </w:r>
      <w:hyperlink r:id="rId14"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/>
          </w:rPr>
          <w:t>www.aifp.cz</w:t>
        </w:r>
      </w:hyperlink>
      <w:r>
        <w:rPr>
          <w:rFonts w:ascii="Calibri" w:eastAsia="Calibri" w:hAnsi="Calibri" w:cs="Calibri"/>
          <w:i/>
          <w:sz w:val="18"/>
          <w:szCs w:val="18"/>
        </w:rPr>
        <w:t xml:space="preserve">. </w:t>
      </w:r>
    </w:p>
    <w:p w14:paraId="6866CA44" w14:textId="77777777" w:rsidR="0028142F" w:rsidRDefault="000D0C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14:paraId="4A6A8F62" w14:textId="77777777" w:rsidR="0028142F" w:rsidRDefault="000D0C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1C76AD"/>
          <w:sz w:val="22"/>
          <w:szCs w:val="22"/>
        </w:rPr>
        <w:t xml:space="preserve">Pro další informace, prosím, kontaktujte: </w:t>
      </w:r>
    </w:p>
    <w:p w14:paraId="750B8607" w14:textId="77777777" w:rsidR="0028142F" w:rsidRDefault="000D0C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Markéta Kolanová</w:t>
      </w:r>
      <w:r>
        <w:rPr>
          <w:rFonts w:ascii="Calibri" w:eastAsia="Calibri" w:hAnsi="Calibri" w:cs="Calibri"/>
          <w:sz w:val="22"/>
          <w:szCs w:val="22"/>
        </w:rPr>
        <w:br/>
        <w:t>PR manager</w:t>
      </w:r>
      <w:r>
        <w:rPr>
          <w:rFonts w:ascii="Calibri" w:eastAsia="Calibri" w:hAnsi="Calibri" w:cs="Calibri"/>
          <w:sz w:val="22"/>
          <w:szCs w:val="22"/>
        </w:rPr>
        <w:br/>
        <w:t xml:space="preserve">e-mail: </w:t>
      </w: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marketa.kolanova@aifp.cz</w:t>
        </w:r>
      </w:hyperlink>
      <w:r>
        <w:rPr>
          <w:rFonts w:ascii="Calibri" w:eastAsia="Calibri" w:hAnsi="Calibri" w:cs="Calibri"/>
          <w:sz w:val="22"/>
          <w:szCs w:val="22"/>
        </w:rPr>
        <w:br/>
        <w:t>tel.: +420 734 623 626</w:t>
      </w:r>
    </w:p>
    <w:p w14:paraId="5621BC2B" w14:textId="77777777" w:rsidR="0028142F" w:rsidRDefault="0028142F">
      <w:pPr>
        <w:rPr>
          <w:rFonts w:ascii="Calibri" w:eastAsia="Calibri" w:hAnsi="Calibri" w:cs="Calibri"/>
          <w:sz w:val="22"/>
          <w:szCs w:val="22"/>
        </w:rPr>
      </w:pPr>
    </w:p>
    <w:p w14:paraId="673CA0C0" w14:textId="77777777" w:rsidR="0028142F" w:rsidRDefault="000D0C7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Klára Brunclíková</w:t>
      </w:r>
    </w:p>
    <w:p w14:paraId="1BEFCB81" w14:textId="77777777" w:rsidR="0028142F" w:rsidRDefault="000D0C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Vedoucí tiskového oddělení SÚKL</w:t>
      </w:r>
    </w:p>
    <w:p w14:paraId="595EE0F7" w14:textId="77777777" w:rsidR="0028142F" w:rsidRDefault="000D0C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klara.brunclikova@sukl.cz</w:t>
        </w:r>
      </w:hyperlink>
    </w:p>
    <w:p w14:paraId="27E93A0D" w14:textId="77777777" w:rsidR="0028142F" w:rsidRDefault="000D0C77">
      <w:pPr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tel.: +420 702 207 242</w:t>
      </w:r>
    </w:p>
    <w:sectPr w:rsidR="0028142F">
      <w:headerReference w:type="default" r:id="rId17"/>
      <w:footerReference w:type="default" r:id="rId18"/>
      <w:pgSz w:w="11900" w:h="16840"/>
      <w:pgMar w:top="2948" w:right="1418" w:bottom="1701" w:left="1418" w:header="1276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4822" w14:textId="77777777" w:rsidR="006E0479" w:rsidRDefault="006E0479">
      <w:r>
        <w:separator/>
      </w:r>
    </w:p>
  </w:endnote>
  <w:endnote w:type="continuationSeparator" w:id="0">
    <w:p w14:paraId="5A4AF29B" w14:textId="77777777" w:rsidR="006E0479" w:rsidRDefault="006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폀: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E414" w14:textId="77777777" w:rsidR="0028142F" w:rsidRDefault="000D0C77">
    <w:pPr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6248C5" wp14:editId="268E5342">
          <wp:simplePos x="0" y="0"/>
          <wp:positionH relativeFrom="column">
            <wp:posOffset>1777085</wp:posOffset>
          </wp:positionH>
          <wp:positionV relativeFrom="paragraph">
            <wp:posOffset>-106177</wp:posOffset>
          </wp:positionV>
          <wp:extent cx="1972171" cy="14988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171" cy="1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9C31" w14:textId="77777777" w:rsidR="006E0479" w:rsidRDefault="006E0479">
      <w:r>
        <w:separator/>
      </w:r>
    </w:p>
  </w:footnote>
  <w:footnote w:type="continuationSeparator" w:id="0">
    <w:p w14:paraId="31B29EBB" w14:textId="77777777" w:rsidR="006E0479" w:rsidRDefault="006E0479">
      <w:r>
        <w:continuationSeparator/>
      </w:r>
    </w:p>
  </w:footnote>
  <w:footnote w:id="1">
    <w:p w14:paraId="3D1CCC77" w14:textId="77777777" w:rsidR="0028142F" w:rsidRDefault="000D0C77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Viz </w:t>
      </w:r>
      <w:hyperlink r:id="rId1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https://www.cdc.gov/mmwr/volumes/69/wr/mm6945a6.htm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</w:footnote>
  <w:footnote w:id="2">
    <w:p w14:paraId="14DCC1A2" w14:textId="77777777" w:rsidR="0028142F" w:rsidRDefault="000D0C77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Viz </w:t>
      </w:r>
      <w:hyperlink r:id="rId2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https://www.ecdc.europa.eu/sites/default/files/documents/seasonal-influenza-antiviral-use-2018.pdf</w:t>
        </w:r>
      </w:hyperlink>
      <w:r>
        <w:rPr>
          <w:rFonts w:ascii="Calibri" w:eastAsia="Calibri" w:hAnsi="Calibri" w:cs="Calibri"/>
          <w:sz w:val="18"/>
          <w:szCs w:val="18"/>
        </w:rPr>
        <w:t xml:space="preserve">   </w:t>
      </w:r>
    </w:p>
  </w:footnote>
  <w:footnote w:id="3">
    <w:p w14:paraId="73FD1381" w14:textId="77777777" w:rsidR="0028142F" w:rsidRDefault="000D0C77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Viz </w:t>
      </w:r>
      <w:hyperlink r:id="rId3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https://data.oecd.org/healthcare/influenza-vaccination-rates.htm#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</w:footnote>
  <w:footnote w:id="4">
    <w:p w14:paraId="4EE229C8" w14:textId="77777777" w:rsidR="0028142F" w:rsidRDefault="000D0C77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>WHO dopo</w:t>
      </w:r>
      <w:r>
        <w:rPr>
          <w:rFonts w:ascii="Calibri" w:eastAsia="Calibri" w:hAnsi="Calibri" w:cs="Calibri"/>
          <w:sz w:val="18"/>
          <w:szCs w:val="18"/>
        </w:rPr>
        <w:t xml:space="preserve">ručila kvadrivalentní vakcíny zajišťující ochranu proti čtyřem kmenům chřipky na bázi vaječných kultur. Doporučené složení je určeno pro chřipkovou sezónu 2020–2021 na severní polokouli. Kvadrivalentní vakcíny by měly obsahovat: variantu kmene A/Guangdong-Maonan/SWL1536/2019 [H1N1] pdm09, variantu kmene A/Hong Kong/2671/2019 [H3N2], variantu kmene B/Washington/02/2019 [linie B/Victoria], variantu kmene B/Phuket/3073/2013 [linie B/Yamagata]. Zdroj: </w:t>
      </w:r>
      <w:hyperlink r:id="rId4">
        <w:r>
          <w:rPr>
            <w:rFonts w:ascii="Calibri" w:eastAsia="Calibri" w:hAnsi="Calibri" w:cs="Calibri"/>
            <w:sz w:val="18"/>
            <w:szCs w:val="18"/>
          </w:rPr>
          <w:t>https://www.who.int/influenza/vaccines/virus/recommendations/2020-21_north/en/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</w:footnote>
  <w:footnote w:id="5">
    <w:p w14:paraId="5569C97A" w14:textId="77777777" w:rsidR="0028142F" w:rsidRDefault="000D0C77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Konkrétní parametry pro hodnocení bezpečnosti, účinnosti a kvality vakcín v Evropské unii stanovuje Evropská léková agentura (</w:t>
      </w:r>
      <w:r>
        <w:rPr>
          <w:rFonts w:ascii="Calibri" w:eastAsia="Calibri" w:hAnsi="Calibri" w:cs="Calibri"/>
          <w:i/>
          <w:sz w:val="18"/>
          <w:szCs w:val="18"/>
        </w:rPr>
        <w:t>European Medicines Agency, EMA</w:t>
      </w:r>
      <w:r>
        <w:rPr>
          <w:rFonts w:ascii="Calibri" w:eastAsia="Calibri" w:hAnsi="Calibri" w:cs="Calibri"/>
          <w:sz w:val="18"/>
          <w:szCs w:val="18"/>
        </w:rPr>
        <w:t>), která navíc v letech 2005 a 2006 vydala specifické dokumenty tykající se pouze klinického hodnocení vakcín (</w:t>
      </w:r>
      <w:r>
        <w:rPr>
          <w:rFonts w:ascii="Calibri" w:eastAsia="Calibri" w:hAnsi="Calibri" w:cs="Calibri"/>
          <w:i/>
          <w:sz w:val="18"/>
          <w:szCs w:val="18"/>
        </w:rPr>
        <w:t>Note for Guidance on Clinical Evaluation of Vaccines, Guideline on Clinical Evaluation of New Vaccines</w:t>
      </w:r>
      <w:r>
        <w:rPr>
          <w:rFonts w:ascii="Calibri" w:eastAsia="Calibri" w:hAnsi="Calibri" w:cs="Calibri"/>
          <w:sz w:val="18"/>
          <w:szCs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9028" w14:textId="1E589108" w:rsidR="0028142F" w:rsidRDefault="002C067A">
    <w:pPr>
      <w:pStyle w:val="Nadpis1"/>
      <w:ind w:firstLine="170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6C08F30" wp14:editId="0E07CFAF">
          <wp:simplePos x="0" y="0"/>
          <wp:positionH relativeFrom="margin">
            <wp:posOffset>2678218</wp:posOffset>
          </wp:positionH>
          <wp:positionV relativeFrom="margin">
            <wp:posOffset>-1318895</wp:posOffset>
          </wp:positionV>
          <wp:extent cx="1714500" cy="79438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9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0C77">
      <w:t>tisková zpráva</w:t>
    </w:r>
    <w:r w:rsidR="000D0C77">
      <w:rPr>
        <w:noProof/>
      </w:rPr>
      <w:drawing>
        <wp:anchor distT="0" distB="0" distL="114300" distR="114300" simplePos="0" relativeHeight="251658240" behindDoc="0" locked="0" layoutInCell="1" hidden="0" allowOverlap="1" wp14:anchorId="3114F85F" wp14:editId="0C892BCF">
          <wp:simplePos x="0" y="0"/>
          <wp:positionH relativeFrom="column">
            <wp:posOffset>4403090</wp:posOffset>
          </wp:positionH>
          <wp:positionV relativeFrom="paragraph">
            <wp:posOffset>-388258</wp:posOffset>
          </wp:positionV>
          <wp:extent cx="1649094" cy="1166400"/>
          <wp:effectExtent l="0" t="0" r="0" b="0"/>
          <wp:wrapNone/>
          <wp:docPr id="4" name="image1.png" descr="Macintosh HD:Users:jakubkalivoda:Desktop:AIF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akubkalivoda:Desktop:AIFP_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094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F"/>
    <w:rsid w:val="000D0C77"/>
    <w:rsid w:val="0028142F"/>
    <w:rsid w:val="002C067A"/>
    <w:rsid w:val="004D4214"/>
    <w:rsid w:val="006E0479"/>
    <w:rsid w:val="0075715C"/>
    <w:rsid w:val="00761715"/>
    <w:rsid w:val="00B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D0309"/>
  <w15:docId w15:val="{CD376261-94DD-7B47-A177-154242D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left w:val="single" w:sz="18" w:space="5" w:color="A6A6A6"/>
      </w:pBdr>
      <w:ind w:left="170"/>
      <w:outlineLvl w:val="0"/>
    </w:pPr>
    <w:rPr>
      <w:rFonts w:ascii="Calibri" w:eastAsia="Calibri" w:hAnsi="Calibri" w:cs="Calibri"/>
      <w:b/>
      <w:smallCap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480"/>
      <w:outlineLvl w:val="1"/>
    </w:pPr>
    <w:rPr>
      <w:color w:val="0073AB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360"/>
      <w:outlineLvl w:val="2"/>
    </w:pPr>
    <w:rPr>
      <w:sz w:val="30"/>
      <w:szCs w:val="3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715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15"/>
    <w:rPr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7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1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1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15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C067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67A"/>
  </w:style>
  <w:style w:type="paragraph" w:styleId="Zpat">
    <w:name w:val="footer"/>
    <w:basedOn w:val="Normln"/>
    <w:link w:val="ZpatChar"/>
    <w:uiPriority w:val="99"/>
    <w:unhideWhenUsed/>
    <w:rsid w:val="002C067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ovaceprozivot.cz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klara.brunclikova@sukl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marketa.kolanova@aifp.c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yperlink" Target="http://www.aif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oecd.org/healthcare/influenza-vaccination-rates.htm" TargetMode="External"/><Relationship Id="rId2" Type="http://schemas.openxmlformats.org/officeDocument/2006/relationships/hyperlink" Target="https://www.ecdc.europa.eu/sites/default/files/documents/seasonal-influenza-antiviral-use-2018.pdf" TargetMode="External"/><Relationship Id="rId1" Type="http://schemas.openxmlformats.org/officeDocument/2006/relationships/hyperlink" Target="https://www.cdc.gov/mmwr/volumes/69/wr/mm6945a6.htm" TargetMode="External"/><Relationship Id="rId4" Type="http://schemas.openxmlformats.org/officeDocument/2006/relationships/hyperlink" Target="https://www.who.int/influenza/vaccines/virus/recommendations/2020-21_north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8550</Characters>
  <Application>Microsoft Office Word</Application>
  <DocSecurity>0</DocSecurity>
  <Lines>71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2021-02-08T08:08:00Z</dcterms:created>
  <dcterms:modified xsi:type="dcterms:W3CDTF">2021-03-12T10:26:00Z</dcterms:modified>
</cp:coreProperties>
</file>